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A87F811" w:rsidR="006937DF" w:rsidRPr="00DA2248" w:rsidRDefault="005C0472" w:rsidP="00093CA9">
            <w:pPr>
              <w:rPr>
                <w:lang w:val="sv-SE"/>
              </w:rPr>
            </w:pPr>
            <w:r>
              <w:rPr>
                <w:lang w:val="sv-SE"/>
              </w:rPr>
              <w:t>EMSI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B38B1FA" w:rsidR="00093CA9" w:rsidRDefault="005655BB" w:rsidP="00093CA9">
            <w:r w:rsidRPr="005655BB">
              <w:t>Energy Act, 2019 (No 36 of 2019)</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C0190FB" w:rsidR="00093CA9" w:rsidRDefault="005655B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926B95A"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EC8AE86" w14:textId="77777777" w:rsidR="00093CA9" w:rsidRDefault="003446BE" w:rsidP="00093CA9">
            <w:r>
              <w:t>The Energy Act</w:t>
            </w:r>
            <w:r w:rsidRPr="003446BE">
              <w:t xml:space="preserve"> consolidate</w:t>
            </w:r>
            <w:r>
              <w:t>s</w:t>
            </w:r>
            <w:r w:rsidRPr="003446BE">
              <w:t xml:space="preserve"> the laws relating to energy</w:t>
            </w:r>
            <w:r>
              <w:t xml:space="preserve"> and provides </w:t>
            </w:r>
            <w:r w:rsidRPr="003446BE">
              <w:t>for National and County Government functions in relation to energy</w:t>
            </w:r>
            <w:r>
              <w:t xml:space="preserve">. It also establishes and outlines the </w:t>
            </w:r>
            <w:r w:rsidRPr="003446BE">
              <w:t>powers and functions of the energy sector entities</w:t>
            </w:r>
            <w:r>
              <w:t xml:space="preserve"> including the Energy and Petroleum Regulatory Authority, the Rural Electrification and Renewable Energy Corporation, the Nuclear Power &amp; Energy Agency and the Energy &amp; Petroleum Tribunal.  The Act regulates the production, supply and use of electricity and promotes </w:t>
            </w:r>
            <w:r w:rsidRPr="003446BE">
              <w:t>renewable energy</w:t>
            </w:r>
            <w:r>
              <w:t xml:space="preserve"> and the </w:t>
            </w:r>
            <w:r w:rsidRPr="003446BE">
              <w:t>exploration, recovery and commercial utilization of geothermal energy</w:t>
            </w:r>
            <w:r>
              <w:t xml:space="preserve">.  It also regulates </w:t>
            </w:r>
            <w:r w:rsidRPr="003446BE">
              <w:t>midstream and downstream petroleum and coal activities</w:t>
            </w:r>
            <w:r>
              <w:t>.</w:t>
            </w:r>
          </w:p>
          <w:p w14:paraId="2FD94F55" w14:textId="77777777" w:rsidR="003446BE" w:rsidRDefault="003446BE" w:rsidP="00093CA9"/>
          <w:p w14:paraId="6825DD4F" w14:textId="77777777" w:rsidR="0023234B" w:rsidRDefault="003446BE" w:rsidP="00093CA9">
            <w:r>
              <w:t xml:space="preserve">In the promotion of Renewable Energy, Section 75 of the Energy Act mandates the Minister responsible for energy to </w:t>
            </w:r>
            <w:r w:rsidRPr="003446BE">
              <w:t>harness opportunities offered under clean development mechanism and other mechanisms including, but not limited to, carbon credit trading to promote the development and exploitation of renewable energy sources</w:t>
            </w:r>
            <w:r>
              <w:t xml:space="preserve"> while REREC is charged with the implementation of these policies.</w:t>
            </w:r>
          </w:p>
          <w:p w14:paraId="3E642388" w14:textId="77777777" w:rsidR="0023234B" w:rsidRDefault="0023234B" w:rsidP="00093CA9"/>
          <w:p w14:paraId="6F41AFC7" w14:textId="77777777" w:rsidR="003446BE" w:rsidRDefault="0023234B" w:rsidP="0023234B">
            <w:r>
              <w:t>Section 74 also requires the Minister to undertake</w:t>
            </w:r>
            <w:r>
              <w:t xml:space="preserve"> a countrywide survey and a resource assessment of all renewable energy resources</w:t>
            </w:r>
            <w:r>
              <w:t xml:space="preserve"> and </w:t>
            </w:r>
            <w:r>
              <w:t>prepare a renewable energy resources inventory and resource map in respect of each renewable energy resource area and thereafter prepare updates biennially which shall be published in the Gazette.</w:t>
            </w:r>
            <w:r w:rsidR="003446BE">
              <w:t xml:space="preserve"> </w:t>
            </w:r>
          </w:p>
          <w:p w14:paraId="62992D49" w14:textId="77777777" w:rsidR="000770CD" w:rsidRDefault="000770CD" w:rsidP="0023234B"/>
          <w:p w14:paraId="70C5D36A" w14:textId="75879BD7" w:rsidR="00252EB6" w:rsidRDefault="000770CD" w:rsidP="0023234B">
            <w:r>
              <w:t>Section 181 mandates the Minister to declare specified areas as energy resource areas</w:t>
            </w:r>
            <w:r>
              <w:t xml:space="preserve"> having taken into consideration the recommendations made by the relevant agencies that any area is suitable for the conservation and management of energy resource or is suitable for the promotion of energy development projects</w:t>
            </w:r>
            <w:r>
              <w:t>. P</w:t>
            </w:r>
            <w:r>
              <w:t xml:space="preserve">rior to the declaration of any area as an energy resource area </w:t>
            </w:r>
            <w:r>
              <w:t>the Minister is required to</w:t>
            </w:r>
            <w:r>
              <w:t xml:space="preserve"> consult with the relevant County Government, local communities and any other relevant agency which the Cabinet Secretary considers necessary or appropriate to consult in the declaration of such area as an energy resource area.</w:t>
            </w:r>
          </w:p>
          <w:p w14:paraId="437FB177" w14:textId="0210B470" w:rsidR="00252EB6" w:rsidRDefault="00252EB6" w:rsidP="00252EB6">
            <w:r>
              <w:t xml:space="preserve">Section 76 establishes the Renewable Energy Resource Advisory Committee mandated to </w:t>
            </w:r>
            <w:r>
              <w:t xml:space="preserve">advise the </w:t>
            </w:r>
            <w:r w:rsidR="000770CD">
              <w:t>Minister</w:t>
            </w:r>
            <w:r>
              <w:t xml:space="preserve"> on</w:t>
            </w:r>
            <w:r>
              <w:t xml:space="preserve"> various matters including </w:t>
            </w:r>
            <w:r>
              <w:t>criteria for allocation of renewable energy resource</w:t>
            </w:r>
            <w:r>
              <w:t xml:space="preserve">, </w:t>
            </w:r>
            <w:r>
              <w:t>licensing of renewable energy resource areas</w:t>
            </w:r>
            <w:r>
              <w:t xml:space="preserve"> and m</w:t>
            </w:r>
            <w:r>
              <w:t>anagement and development of renewable energy resources.</w:t>
            </w:r>
          </w:p>
          <w:p w14:paraId="18257824" w14:textId="49A93C4A" w:rsidR="00252EB6" w:rsidRDefault="00252EB6" w:rsidP="00252EB6"/>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5467803" w:rsidR="00093CA9" w:rsidRDefault="003446B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lastRenderedPageBreak/>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A8B8A1F" w:rsidR="00093CA9" w:rsidRPr="00173D7C" w:rsidRDefault="00262403"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4879352" w:rsidR="00093CA9" w:rsidRPr="00173D7C" w:rsidRDefault="00262403"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B1CD5C7" w:rsidR="00093CA9" w:rsidRDefault="00262403" w:rsidP="00093CA9">
            <w:r>
              <w:t>Legislature ( Parliament)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72B5547" w:rsidR="00093CA9" w:rsidRPr="006B7B0D" w:rsidRDefault="00262403" w:rsidP="00093CA9">
            <w:r>
              <w:t>Ministry and Energy &amp; Petroleum Regulatory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3DCDB0F" w:rsidR="00093CA9" w:rsidRPr="006B7B0D" w:rsidRDefault="00364D3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ACCB4A6" w:rsidR="00093CA9" w:rsidRDefault="00364D3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894D98C" w14:textId="11F2EE13" w:rsidR="00364D39" w:rsidRDefault="00364D39" w:rsidP="00093CA9">
            <w:pPr>
              <w:keepNext/>
              <w:rPr>
                <w:color w:val="000000" w:themeColor="text1"/>
              </w:rPr>
            </w:pPr>
            <w:r>
              <w:rPr>
                <w:color w:val="000000" w:themeColor="text1"/>
              </w:rPr>
              <w:t xml:space="preserve">Section 4 requires the Minister to </w:t>
            </w:r>
            <w:r w:rsidRPr="00364D39">
              <w:rPr>
                <w:color w:val="000000" w:themeColor="text1"/>
              </w:rPr>
              <w:t>prepare and publish a report on the implementation of the national energy policy</w:t>
            </w:r>
            <w:r>
              <w:rPr>
                <w:color w:val="000000" w:themeColor="text1"/>
              </w:rPr>
              <w:t xml:space="preserve"> within </w:t>
            </w:r>
            <w:r w:rsidRPr="00364D39">
              <w:rPr>
                <w:color w:val="000000" w:themeColor="text1"/>
              </w:rPr>
              <w:t>three months after the end of each financial year</w:t>
            </w:r>
            <w:r>
              <w:rPr>
                <w:color w:val="000000" w:themeColor="text1"/>
              </w:rPr>
              <w:t xml:space="preserve"> </w:t>
            </w:r>
          </w:p>
          <w:p w14:paraId="0C984C05" w14:textId="7338B5D0" w:rsidR="003B2485" w:rsidRDefault="00281B65" w:rsidP="00093CA9">
            <w:pPr>
              <w:keepNext/>
              <w:rPr>
                <w:color w:val="000000" w:themeColor="text1"/>
              </w:rPr>
            </w:pPr>
            <w:r>
              <w:rPr>
                <w:color w:val="000000" w:themeColor="text1"/>
              </w:rPr>
              <w:t xml:space="preserve">Section 129 requires all licensees under the Act to submit annual </w:t>
            </w:r>
            <w:r w:rsidRPr="00281B65">
              <w:rPr>
                <w:color w:val="000000" w:themeColor="text1"/>
              </w:rPr>
              <w:t xml:space="preserve">Accounts, records and reports </w:t>
            </w:r>
            <w:r>
              <w:rPr>
                <w:color w:val="000000" w:themeColor="text1"/>
              </w:rPr>
              <w:t>to EPRA while section 137 requires licensees to</w:t>
            </w:r>
            <w:r w:rsidRPr="00281B65">
              <w:rPr>
                <w:color w:val="000000" w:themeColor="text1"/>
              </w:rPr>
              <w:t xml:space="preserve"> collect, analyze and maintain such data, information and statistics relating to </w:t>
            </w:r>
            <w:r>
              <w:rPr>
                <w:color w:val="000000" w:themeColor="text1"/>
              </w:rPr>
              <w:t>its</w:t>
            </w:r>
            <w:r w:rsidRPr="00281B65">
              <w:rPr>
                <w:color w:val="000000" w:themeColor="text1"/>
              </w:rPr>
              <w:t xml:space="preserve"> undertaking to enable</w:t>
            </w:r>
            <w:r>
              <w:rPr>
                <w:color w:val="000000" w:themeColor="text1"/>
              </w:rPr>
              <w:t xml:space="preserve"> it</w:t>
            </w:r>
            <w:r w:rsidRPr="00281B65">
              <w:rPr>
                <w:color w:val="000000" w:themeColor="text1"/>
              </w:rPr>
              <w:t xml:space="preserve"> monitor and report to </w:t>
            </w:r>
            <w:r>
              <w:rPr>
                <w:color w:val="000000" w:themeColor="text1"/>
              </w:rPr>
              <w:t xml:space="preserve">EPRA </w:t>
            </w:r>
            <w:r w:rsidRPr="00281B65">
              <w:rPr>
                <w:color w:val="000000" w:themeColor="text1"/>
              </w:rPr>
              <w:t>on the reliability and quality of supply as well as quality of service</w:t>
            </w:r>
            <w:r>
              <w:rPr>
                <w:color w:val="000000" w:themeColor="text1"/>
              </w:rPr>
              <w:t>.</w:t>
            </w:r>
          </w:p>
          <w:p w14:paraId="6CA62272" w14:textId="77777777" w:rsidR="00067C74" w:rsidRDefault="003B2485" w:rsidP="00093CA9">
            <w:pPr>
              <w:keepNext/>
            </w:pPr>
            <w:r>
              <w:t xml:space="preserve">Section 204 requires EPRA to specify the persons including public bodies who are obliged to undertake energy audits on their respective installations or premises.  </w:t>
            </w:r>
            <w:r w:rsidR="00067C74" w:rsidRPr="00067C74">
              <w:t xml:space="preserve">The Energy (Energy Management) Regulations, 2024 became effective in February 2025 to promote energy management in commercial, industrial and institutional facilities with the aim of reducing energy consumption per unit of production. </w:t>
            </w:r>
          </w:p>
          <w:p w14:paraId="30002E31" w14:textId="100A0D1F" w:rsidR="003B2485" w:rsidRDefault="003B2485" w:rsidP="00093CA9">
            <w:pPr>
              <w:keepNext/>
              <w:rPr>
                <w:color w:val="000000" w:themeColor="text1"/>
              </w:rPr>
            </w:pPr>
            <w:r>
              <w:t xml:space="preserve">Section 205 requires EPRA to </w:t>
            </w:r>
            <w:r w:rsidRPr="003B2485">
              <w:t xml:space="preserve">prepare </w:t>
            </w:r>
            <w:r>
              <w:t>and submit to the Minister annual reports on its activities including energy consumption in the country.</w:t>
            </w:r>
          </w:p>
          <w:p w14:paraId="177E29AB" w14:textId="516A96BE" w:rsidR="00093CA9" w:rsidRDefault="00364D39" w:rsidP="00093CA9">
            <w:pPr>
              <w:keepNext/>
              <w:rPr>
                <w:color w:val="000000" w:themeColor="text1"/>
              </w:rPr>
            </w:pPr>
            <w:r>
              <w:rPr>
                <w:color w:val="000000" w:themeColor="text1"/>
              </w:rPr>
              <w:t>Section 207 requires EPRA to publish reports on monitoring and enforcement of local content obligations</w:t>
            </w:r>
          </w:p>
          <w:p w14:paraId="2C2128DB" w14:textId="3B46F99E" w:rsidR="00364D39" w:rsidRPr="008017F9" w:rsidRDefault="00364D3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655B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DB0F0BD" w:rsidR="00C4670C" w:rsidRPr="00C37D48" w:rsidRDefault="0001710A"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68105AD9" w:rsidR="00C4670C" w:rsidRPr="00C37D48" w:rsidRDefault="0001710A"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67A2F04" w:rsidR="00C4670C" w:rsidRPr="00C37D48" w:rsidRDefault="0001710A"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86A93C8" w:rsidR="00C4670C" w:rsidRPr="00C37D48" w:rsidRDefault="0001710A"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BB425A4" w:rsidR="00C4670C" w:rsidRPr="00C37D48" w:rsidRDefault="0001710A"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914D114" w:rsidR="00C4670C" w:rsidRPr="00C37D48" w:rsidRDefault="0001710A"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EA5D790" w:rsidR="00C4670C" w:rsidRPr="00C37D48" w:rsidRDefault="0001710A"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1B4B8D5A" w:rsidR="00C4670C" w:rsidRPr="00C37D48" w:rsidRDefault="0001710A"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3C7A6799" w:rsidR="00C4670C" w:rsidRPr="00C37D48" w:rsidRDefault="0001710A"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3EE5315F" w:rsidR="00C4670C" w:rsidRPr="00C37D48" w:rsidRDefault="0001710A"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9A3ECB7" w:rsidR="00C4670C" w:rsidRPr="00C37D48" w:rsidRDefault="0001710A"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20BD1534" w:rsidR="00C4670C" w:rsidRPr="00C37D48" w:rsidRDefault="0001710A"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10E334F3" w:rsidR="00C4670C" w:rsidRPr="00C37D48" w:rsidRDefault="0001710A"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7876974" w14:textId="77777777" w:rsidR="001008A2" w:rsidRDefault="0001710A" w:rsidP="0001710A">
            <w:pPr>
              <w:keepNext/>
            </w:pPr>
            <w:r>
              <w:rPr>
                <w:rFonts w:ascii="Calibri" w:hAnsi="Calibri" w:cs="Calibri"/>
              </w:rPr>
              <w:t xml:space="preserve">Section </w:t>
            </w:r>
            <w:r>
              <w:t xml:space="preserve">204 requires EPRA to specify the persons including public bodies who are obliged to undertake energy audits on their respective installations or premises.  The </w:t>
            </w:r>
            <w:r w:rsidR="00067C74" w:rsidRPr="00067C74">
              <w:t>Energy (Energy Management) Regulations, 2024</w:t>
            </w:r>
            <w:r w:rsidR="00067C74">
              <w:t xml:space="preserve"> became effective in February 2025 to </w:t>
            </w:r>
            <w:r w:rsidR="00067C74" w:rsidRPr="00067C74">
              <w:t xml:space="preserve">promote energy </w:t>
            </w:r>
            <w:r w:rsidR="00067C74" w:rsidRPr="00067C74">
              <w:lastRenderedPageBreak/>
              <w:t>management in commercial, industrial and institutional facilities with the aim of reducing energy consumption per unit of production</w:t>
            </w:r>
            <w:r>
              <w:t>.</w:t>
            </w:r>
            <w:r>
              <w:t xml:space="preserve">  </w:t>
            </w:r>
          </w:p>
          <w:p w14:paraId="28FA68F6" w14:textId="58BFF784" w:rsidR="004F276F" w:rsidRPr="0001710A" w:rsidRDefault="0001710A" w:rsidP="0001710A">
            <w:pPr>
              <w:keepNext/>
            </w:pPr>
            <w:r>
              <w:t xml:space="preserve">For purposes of the Energy Act, Section 2 defines </w:t>
            </w:r>
            <w:r w:rsidRPr="0001710A">
              <w:rPr>
                <w:rFonts w:ascii="Calibri" w:hAnsi="Calibri" w:cs="Calibri"/>
              </w:rPr>
              <w:t xml:space="preserve">"energy audit" </w:t>
            </w:r>
            <w:r>
              <w:rPr>
                <w:rFonts w:ascii="Calibri" w:hAnsi="Calibri" w:cs="Calibri"/>
              </w:rPr>
              <w:t xml:space="preserve">to </w:t>
            </w:r>
            <w:r w:rsidRPr="0001710A">
              <w:rPr>
                <w:rFonts w:ascii="Calibri" w:hAnsi="Calibri" w:cs="Calibri"/>
              </w:rPr>
              <w:t>mean the verification, monitoring and analysis of use of energy including submission of technical report containing recommendations for improving energy efficiency with cost benefit analysis and an action plan to reduce energy consumption</w:t>
            </w:r>
            <w:r>
              <w:rPr>
                <w:rFonts w:ascii="Calibri" w:hAnsi="Calibri" w:cs="Calibri"/>
              </w:rPr>
              <w:t>.</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A224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ABCA3AE" w:rsidR="004F276F" w:rsidRPr="00C37D48" w:rsidRDefault="00067C74"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3EC8CCA2" w:rsidR="004F276F" w:rsidRPr="00C37D48" w:rsidRDefault="00102550"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385F27B6" w:rsidR="004F276F" w:rsidRPr="00C37D48" w:rsidRDefault="00102550" w:rsidP="00C37D48">
            <w:pP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5816D84" w14:textId="02B8F998" w:rsidR="00102550" w:rsidRDefault="00102550" w:rsidP="00C37D48">
            <w:pPr>
              <w:rPr>
                <w:rFonts w:ascii="Calibri" w:hAnsi="Calibri" w:cs="Calibri"/>
              </w:rPr>
            </w:pPr>
            <w:r>
              <w:rPr>
                <w:rFonts w:ascii="Calibri" w:hAnsi="Calibri" w:cs="Calibri"/>
              </w:rPr>
              <w:t xml:space="preserve">Section 218 makes employers / </w:t>
            </w:r>
            <w:r w:rsidRPr="00102550">
              <w:rPr>
                <w:rFonts w:ascii="Calibri" w:hAnsi="Calibri" w:cs="Calibri"/>
              </w:rPr>
              <w:t>principal</w:t>
            </w:r>
            <w:r>
              <w:rPr>
                <w:rFonts w:ascii="Calibri" w:hAnsi="Calibri" w:cs="Calibri"/>
              </w:rPr>
              <w:t>s</w:t>
            </w:r>
            <w:r w:rsidRPr="00102550">
              <w:rPr>
                <w:rFonts w:ascii="Calibri" w:hAnsi="Calibri" w:cs="Calibri"/>
              </w:rPr>
              <w:t xml:space="preserve"> liable for an offence committed by an employee or agent under th</w:t>
            </w:r>
            <w:r>
              <w:rPr>
                <w:rFonts w:ascii="Calibri" w:hAnsi="Calibri" w:cs="Calibri"/>
              </w:rPr>
              <w:t xml:space="preserve">e Energy </w:t>
            </w:r>
            <w:r w:rsidRPr="00102550">
              <w:rPr>
                <w:rFonts w:ascii="Calibri" w:hAnsi="Calibri" w:cs="Calibri"/>
              </w:rPr>
              <w:t>Act, unless the employer or principal proves that the offence was committed against the employer's or principal's express or standing directions.</w:t>
            </w:r>
          </w:p>
          <w:p w14:paraId="643668F7" w14:textId="2EDFA9CA" w:rsidR="00711F61" w:rsidRPr="00C37D48" w:rsidRDefault="00102550" w:rsidP="00C37D48">
            <w:pPr>
              <w:rPr>
                <w:rFonts w:ascii="Calibri" w:hAnsi="Calibri" w:cs="Calibri"/>
              </w:rPr>
            </w:pPr>
            <w:r>
              <w:rPr>
                <w:rFonts w:ascii="Calibri" w:hAnsi="Calibri" w:cs="Calibri"/>
              </w:rPr>
              <w:t xml:space="preserve">Section 221 of the Energy Act prescribes a general penalty of </w:t>
            </w:r>
            <w:r w:rsidRPr="00102550">
              <w:rPr>
                <w:rFonts w:ascii="Calibri" w:hAnsi="Calibri" w:cs="Calibri"/>
              </w:rPr>
              <w:t xml:space="preserve">a fine not less than </w:t>
            </w:r>
            <w:r>
              <w:rPr>
                <w:rFonts w:ascii="Calibri" w:hAnsi="Calibri" w:cs="Calibri"/>
              </w:rPr>
              <w:t>KES 100,000 where no penalty has been prescribed for specific offences.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4EDC790E" w:rsidR="001F30DE" w:rsidRPr="00C37D48" w:rsidRDefault="00102550"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B1CEA52" w:rsidR="001F30DE" w:rsidRPr="00C37D48" w:rsidRDefault="00102550"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1F563CA2" w:rsidR="001F30DE" w:rsidRPr="00C37D48" w:rsidRDefault="00102550"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A60DB9B" w:rsidR="004F48E8" w:rsidRPr="00C37D48" w:rsidRDefault="00102550"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0D5B177" w:rsidR="000A1365" w:rsidRPr="00C37D48" w:rsidRDefault="00102550"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2105C1C7" w:rsidR="00850F36" w:rsidRPr="00C37D48" w:rsidRDefault="00102550"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4E7B4D3" w:rsidR="00850F36" w:rsidRPr="00C37D48" w:rsidRDefault="00102550"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7810FD92" w:rsidR="00850F36" w:rsidRPr="00C37D48" w:rsidRDefault="00102550"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EDCB676" w:rsidR="00850F36" w:rsidRPr="00C37D48" w:rsidRDefault="00102550"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450A06A" w:rsidR="00850F36" w:rsidRPr="00C37D48" w:rsidRDefault="00102550"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1426CA4B" w:rsidR="00850F36" w:rsidRPr="00C37D48" w:rsidRDefault="00102550"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2F2B532C" w:rsidR="00850F36" w:rsidRPr="00C37D48" w:rsidRDefault="00102550"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2C22941B" w:rsidR="00850F36" w:rsidRPr="00C37D48" w:rsidRDefault="00102550"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5989079" w:rsidR="00850F36" w:rsidRPr="00C37D48" w:rsidRDefault="00102550"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08EB426F" w:rsidR="00850F36" w:rsidRPr="00C37D48" w:rsidRDefault="00102550"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446052F2" w:rsidR="00850F36" w:rsidRPr="00C37D48" w:rsidRDefault="00102550"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3E5AF7B7" w:rsidR="00850F36" w:rsidRPr="00C37D48" w:rsidRDefault="00102550"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2DDED3D" w:rsidR="000A1365" w:rsidRPr="00C37D48" w:rsidRDefault="00102550"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56E31B1F" w:rsidR="00C81DE5" w:rsidRPr="00C37D48" w:rsidRDefault="00102550"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194458F" w:rsidR="000A1365" w:rsidRPr="00C37D48" w:rsidRDefault="00102550"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266F252" w:rsidR="000A1365" w:rsidRPr="00C37D48" w:rsidRDefault="003B3FAC"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26B1EB7" w:rsidR="00D9431B" w:rsidRPr="00C37D48" w:rsidRDefault="003B3FAC"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02860DAE" w:rsidR="00890032" w:rsidRPr="00C37D48" w:rsidRDefault="003B3FAC"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ACAD4F0" w:rsidR="00474855" w:rsidRPr="00C37D48" w:rsidRDefault="003B3FAC" w:rsidP="003B3FAC">
            <w:pPr>
              <w:rPr>
                <w:rFonts w:ascii="Calibri" w:hAnsi="Calibri" w:cs="Calibri"/>
              </w:rPr>
            </w:pPr>
            <w:r>
              <w:rPr>
                <w:rFonts w:ascii="Calibri" w:hAnsi="Calibri" w:cs="Calibri"/>
              </w:rPr>
              <w:t>The Energy Act does not address energy transition planning but deals with energy efficiency and management to some extent while the Energy Management Regulations</w:t>
            </w:r>
            <w:r w:rsidR="0042626E">
              <w:rPr>
                <w:rFonts w:ascii="Calibri" w:hAnsi="Calibri" w:cs="Calibri"/>
              </w:rPr>
              <w:t xml:space="preserve"> 2025</w:t>
            </w:r>
            <w:r>
              <w:rPr>
                <w:rFonts w:ascii="Calibri" w:hAnsi="Calibri" w:cs="Calibri"/>
              </w:rPr>
              <w:t xml:space="preserve"> require specified entities to prepare a</w:t>
            </w:r>
            <w:r w:rsidRPr="003B3FAC">
              <w:rPr>
                <w:rFonts w:ascii="Calibri" w:hAnsi="Calibri" w:cs="Calibri"/>
              </w:rPr>
              <w:t xml:space="preserve">n energy management policy statement </w:t>
            </w:r>
            <w:r>
              <w:rPr>
                <w:rFonts w:ascii="Calibri" w:hAnsi="Calibri" w:cs="Calibri"/>
              </w:rPr>
              <w:t xml:space="preserve">which should include </w:t>
            </w:r>
            <w:r w:rsidRPr="003B3FAC">
              <w:rPr>
                <w:rFonts w:ascii="Calibri" w:hAnsi="Calibri" w:cs="Calibri"/>
              </w:rPr>
              <w:t>a commitment to</w:t>
            </w:r>
            <w:r>
              <w:rPr>
                <w:rFonts w:ascii="Calibri" w:hAnsi="Calibri" w:cs="Calibri"/>
              </w:rPr>
              <w:t xml:space="preserve"> </w:t>
            </w:r>
            <w:r w:rsidRPr="003B3FAC">
              <w:rPr>
                <w:rFonts w:ascii="Calibri" w:hAnsi="Calibri" w:cs="Calibri"/>
              </w:rPr>
              <w:t>improve energy efficiency and conservation with clear targets</w:t>
            </w:r>
            <w:r>
              <w:rPr>
                <w:rFonts w:ascii="Calibri" w:hAnsi="Calibri" w:cs="Calibri"/>
              </w:rPr>
              <w:t>.</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9227590" w:rsidR="00B610C2" w:rsidRPr="00610F28" w:rsidRDefault="00355816"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A04CB42" w:rsidR="00B610C2" w:rsidRPr="00610F28" w:rsidRDefault="00355816"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4F69ACA" w:rsidR="00B610C2" w:rsidRPr="00610F28" w:rsidRDefault="00355816"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39CFBDF" w:rsidR="00B610C2" w:rsidRPr="00610F28" w:rsidRDefault="00355816"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8774E3D" w:rsidR="00B610C2" w:rsidRPr="00610F28" w:rsidRDefault="00355816"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40144CA" w:rsidR="00B610C2" w:rsidRPr="00610F28" w:rsidRDefault="00355816"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FB8CFED" w:rsidR="00B610C2" w:rsidRPr="00610F28" w:rsidRDefault="00355816"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00D8913" w:rsidR="00B610C2" w:rsidRPr="00610F28" w:rsidRDefault="00355816"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2504671" w:rsidR="00B610C2" w:rsidRPr="00610F28" w:rsidRDefault="00355816"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CAB1ACA" w:rsidR="00B610C2" w:rsidRPr="00610F28" w:rsidRDefault="00355816"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077AE63D" w:rsidR="00B610C2" w:rsidRPr="00610F28" w:rsidRDefault="00355816" w:rsidP="00610F28">
            <w:pPr>
              <w:rPr>
                <w:rFonts w:ascii="Calibri" w:hAnsi="Calibri" w:cs="Calibri"/>
              </w:rPr>
            </w:pPr>
            <w:r>
              <w:rPr>
                <w:rFonts w:ascii="Calibri" w:hAnsi="Calibri" w:cs="Calibri"/>
                <w:sz w:val="22"/>
                <w:szCs w:val="22"/>
              </w:rPr>
              <w:t>On</w:t>
            </w:r>
            <w:r w:rsidRPr="002C40AD">
              <w:rPr>
                <w:rFonts w:ascii="Calibri" w:hAnsi="Calibri" w:cs="Calibri"/>
                <w:sz w:val="22"/>
                <w:szCs w:val="22"/>
              </w:rPr>
              <w:t xml:space="preserve"> September 6</w:t>
            </w:r>
            <w:r w:rsidRPr="002C40AD">
              <w:rPr>
                <w:rFonts w:ascii="Calibri" w:hAnsi="Calibri" w:cs="Calibri"/>
                <w:sz w:val="22"/>
                <w:szCs w:val="22"/>
                <w:vertAlign w:val="superscript"/>
              </w:rPr>
              <w:t>th</w:t>
            </w:r>
            <w:r w:rsidRPr="002C40AD">
              <w:rPr>
                <w:rFonts w:ascii="Calibri" w:hAnsi="Calibri" w:cs="Calibri"/>
                <w:sz w:val="22"/>
                <w:szCs w:val="22"/>
              </w:rPr>
              <w:t>, 2023 the Institute of Certified Public Accountants of Kenya (ICPAK) announced its intention to adopt the International Financial Reporting Standards (IFRS) Sustainability Disclosure Standards (IFRS S1, S2 Standards). The IFRS S1 Standards require an entity to disclose information about its sustainability – related risks and opportunities relevant to investors and stakeholders while IFRS S2 requires an entity to disclose information about its climate related risks and opportunities relevant to investors and stakeholders. ICPAK has set the mandatory adoption of the standards in Kenya to be effective as follows: January 1st, 2027, for listed companies, January 1</w:t>
            </w:r>
            <w:r w:rsidRPr="002C40AD">
              <w:rPr>
                <w:rFonts w:ascii="Calibri" w:hAnsi="Calibri" w:cs="Calibri"/>
                <w:sz w:val="22"/>
                <w:szCs w:val="22"/>
                <w:vertAlign w:val="superscript"/>
              </w:rPr>
              <w:t>st</w:t>
            </w:r>
            <w:r w:rsidRPr="002C40AD">
              <w:rPr>
                <w:rFonts w:ascii="Calibri" w:hAnsi="Calibri" w:cs="Calibri"/>
                <w:sz w:val="22"/>
                <w:szCs w:val="22"/>
              </w:rPr>
              <w:t>, 2028 for large enterprises, and January 1</w:t>
            </w:r>
            <w:r w:rsidRPr="002C40AD">
              <w:rPr>
                <w:rFonts w:ascii="Calibri" w:hAnsi="Calibri" w:cs="Calibri"/>
                <w:sz w:val="22"/>
                <w:szCs w:val="22"/>
                <w:vertAlign w:val="superscript"/>
              </w:rPr>
              <w:t>st</w:t>
            </w:r>
            <w:r w:rsidRPr="002C40AD">
              <w:rPr>
                <w:rFonts w:ascii="Calibri" w:hAnsi="Calibri" w:cs="Calibri"/>
                <w:sz w:val="22"/>
                <w:szCs w:val="22"/>
              </w:rPr>
              <w:t>, 2029 for SMEs.</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A224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0742C0" w14:textId="77777777" w:rsidR="0037538F" w:rsidRDefault="0037538F" w:rsidP="00874E39">
      <w:r>
        <w:separator/>
      </w:r>
    </w:p>
  </w:endnote>
  <w:endnote w:type="continuationSeparator" w:id="0">
    <w:p w14:paraId="713FE562" w14:textId="77777777" w:rsidR="0037538F" w:rsidRDefault="0037538F" w:rsidP="00874E39">
      <w:r>
        <w:continuationSeparator/>
      </w:r>
    </w:p>
  </w:endnote>
  <w:endnote w:type="continuationNotice" w:id="1">
    <w:p w14:paraId="0053A8E6" w14:textId="77777777" w:rsidR="0037538F" w:rsidRDefault="003753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6A345D" w14:textId="77777777" w:rsidR="0037538F" w:rsidRDefault="0037538F" w:rsidP="00874E39">
      <w:r>
        <w:separator/>
      </w:r>
    </w:p>
  </w:footnote>
  <w:footnote w:type="continuationSeparator" w:id="0">
    <w:p w14:paraId="0F033C31" w14:textId="77777777" w:rsidR="0037538F" w:rsidRDefault="0037538F" w:rsidP="00874E39">
      <w:r>
        <w:continuationSeparator/>
      </w:r>
    </w:p>
  </w:footnote>
  <w:footnote w:type="continuationNotice" w:id="1">
    <w:p w14:paraId="5D52FF64" w14:textId="77777777" w:rsidR="0037538F" w:rsidRDefault="0037538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304"/>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10A"/>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C74"/>
    <w:rsid w:val="00067E05"/>
    <w:rsid w:val="000702AA"/>
    <w:rsid w:val="000704DB"/>
    <w:rsid w:val="00071C1F"/>
    <w:rsid w:val="0007502A"/>
    <w:rsid w:val="00075B10"/>
    <w:rsid w:val="000770CD"/>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08A2"/>
    <w:rsid w:val="00101305"/>
    <w:rsid w:val="001014D9"/>
    <w:rsid w:val="001021EC"/>
    <w:rsid w:val="00102550"/>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34B"/>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EB6"/>
    <w:rsid w:val="0025449C"/>
    <w:rsid w:val="002552C9"/>
    <w:rsid w:val="0025765F"/>
    <w:rsid w:val="00257732"/>
    <w:rsid w:val="00262403"/>
    <w:rsid w:val="00264CBC"/>
    <w:rsid w:val="0026588F"/>
    <w:rsid w:val="0026642F"/>
    <w:rsid w:val="002679A5"/>
    <w:rsid w:val="0027067C"/>
    <w:rsid w:val="00270A4D"/>
    <w:rsid w:val="00272D9A"/>
    <w:rsid w:val="002737EF"/>
    <w:rsid w:val="00274335"/>
    <w:rsid w:val="00274864"/>
    <w:rsid w:val="00274B22"/>
    <w:rsid w:val="00277FC5"/>
    <w:rsid w:val="00281B6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6BE"/>
    <w:rsid w:val="00344B03"/>
    <w:rsid w:val="00345B1A"/>
    <w:rsid w:val="00346D03"/>
    <w:rsid w:val="003473CB"/>
    <w:rsid w:val="00347515"/>
    <w:rsid w:val="003510A0"/>
    <w:rsid w:val="003514EB"/>
    <w:rsid w:val="00352152"/>
    <w:rsid w:val="003525D5"/>
    <w:rsid w:val="00353C12"/>
    <w:rsid w:val="003540A1"/>
    <w:rsid w:val="003544E0"/>
    <w:rsid w:val="00355816"/>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4D39"/>
    <w:rsid w:val="0036671B"/>
    <w:rsid w:val="003676DE"/>
    <w:rsid w:val="0036779C"/>
    <w:rsid w:val="00372AEE"/>
    <w:rsid w:val="00374229"/>
    <w:rsid w:val="0037453B"/>
    <w:rsid w:val="0037538F"/>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485"/>
    <w:rsid w:val="003B3C0F"/>
    <w:rsid w:val="003B3FAC"/>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2D82"/>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26E"/>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772"/>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472"/>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1D8E"/>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46A8"/>
    <w:rsid w:val="00AE5D21"/>
    <w:rsid w:val="00AE7C5F"/>
    <w:rsid w:val="00AF08A8"/>
    <w:rsid w:val="00AF2019"/>
    <w:rsid w:val="00AF26B7"/>
    <w:rsid w:val="00AF30FD"/>
    <w:rsid w:val="00AF3E50"/>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04"/>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112</Pages>
  <Words>22604</Words>
  <Characters>128846</Characters>
  <Application>Microsoft Office Word</Application>
  <DocSecurity>0</DocSecurity>
  <Lines>1073</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18</cp:revision>
  <cp:lastPrinted>2025-03-21T00:14:00Z</cp:lastPrinted>
  <dcterms:created xsi:type="dcterms:W3CDTF">2025-07-19T08:56:00Z</dcterms:created>
  <dcterms:modified xsi:type="dcterms:W3CDTF">2025-07-19T09:51:00Z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